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A891" w14:textId="6F6931A7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33A57BA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6BBEDC99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1A1E68A2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 xml:space="preserve">EXMO. SR. COMANDANTE 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>; art. 4, incisos II, III e VI da Lei nº 12.209/2011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0823BEBC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>Decreto 28.792/82, referente às LAM's publicadas nos BGR's número 025 de 05 de Outubro/20</w:t>
      </w:r>
      <w:r w:rsidR="00675292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031 de 21 de Dezembro/20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Pr="00B01108">
        <w:rPr>
          <w:rFonts w:ascii="Arial" w:hAnsi="Arial" w:cs="Arial"/>
          <w:sz w:val="24"/>
          <w:szCs w:val="24"/>
        </w:rPr>
        <w:t>014 de 25 de Maio/21, 029 de 15 de Outubro/21, 003 de 1 de Fevereiro/22, 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="00675292" w:rsidRPr="00B01108">
        <w:rPr>
          <w:rFonts w:ascii="Arial" w:hAnsi="Arial" w:cs="Arial"/>
          <w:kern w:val="0"/>
          <w:sz w:val="24"/>
          <w:szCs w:val="24"/>
        </w:rPr>
        <w:t>nº 25, de 20 de Dezembro de 2023 e, finalmente, BGR nº 12, de 16 de Maio de 2024 Nº 12;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77777777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BGR's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 xml:space="preserve"> 025 de 05 de Outubro/20</w:t>
      </w:r>
      <w:r w:rsidR="00AD16D8" w:rsidRPr="00B01108">
        <w:rPr>
          <w:rFonts w:ascii="Arial" w:hAnsi="Arial" w:cs="Arial"/>
          <w:sz w:val="24"/>
          <w:szCs w:val="24"/>
        </w:rPr>
        <w:t>; nº</w:t>
      </w:r>
      <w:r w:rsidRPr="00B01108">
        <w:rPr>
          <w:rFonts w:ascii="Arial" w:hAnsi="Arial" w:cs="Arial"/>
          <w:sz w:val="24"/>
          <w:szCs w:val="24"/>
        </w:rPr>
        <w:t xml:space="preserve"> 031 de 21 de</w:t>
      </w:r>
      <w:r w:rsidR="00AD16D8" w:rsidRPr="00B01108">
        <w:rPr>
          <w:rFonts w:ascii="Arial" w:hAnsi="Arial" w:cs="Arial"/>
          <w:sz w:val="24"/>
          <w:szCs w:val="24"/>
        </w:rPr>
        <w:t xml:space="preserve"> d</w:t>
      </w:r>
      <w:r w:rsidRPr="00B01108">
        <w:rPr>
          <w:rFonts w:ascii="Arial" w:hAnsi="Arial" w:cs="Arial"/>
          <w:sz w:val="24"/>
          <w:szCs w:val="24"/>
        </w:rPr>
        <w:t>ezembro</w:t>
      </w:r>
      <w:r w:rsidR="00AD16D8" w:rsidRPr="00B01108">
        <w:rPr>
          <w:rFonts w:ascii="Arial" w:hAnsi="Arial" w:cs="Arial"/>
          <w:sz w:val="24"/>
          <w:szCs w:val="24"/>
        </w:rPr>
        <w:t xml:space="preserve"> de 2020;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014 de 25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2021;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029 de 15 de Outubro/21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003 de 1 de Fevereiro</w:t>
      </w:r>
      <w:r w:rsidR="00AD16D8" w:rsidRPr="00B01108">
        <w:rPr>
          <w:rFonts w:ascii="Arial" w:hAnsi="Arial" w:cs="Arial"/>
          <w:sz w:val="24"/>
          <w:szCs w:val="24"/>
        </w:rPr>
        <w:t xml:space="preserve">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AD16D8" w:rsidRPr="00B01108">
        <w:rPr>
          <w:rFonts w:ascii="Arial" w:hAnsi="Arial" w:cs="Arial"/>
          <w:sz w:val="24"/>
          <w:szCs w:val="24"/>
        </w:rPr>
        <w:t xml:space="preserve">; 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nº 25, de 20 de Dezembro de 2023 e, finalmente, BGR nº 12, de 16 de Maio de 2024,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1ECEDF27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8F39E6">
        <w:rPr>
          <w:rFonts w:ascii="Arial" w:hAnsi="Arial" w:cs="Arial"/>
          <w:sz w:val="24"/>
          <w:szCs w:val="24"/>
        </w:rPr>
        <w:t>Capitães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 xml:space="preserve">promovidos ao posto de </w:t>
      </w:r>
      <w:r w:rsidR="008F39E6">
        <w:rPr>
          <w:rFonts w:ascii="Arial" w:hAnsi="Arial" w:cs="Arial"/>
          <w:sz w:val="24"/>
          <w:szCs w:val="24"/>
        </w:rPr>
        <w:t>Major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DC4A8" w14:textId="77777777" w:rsidR="00666744" w:rsidRDefault="00666744" w:rsidP="001F5306">
      <w:pPr>
        <w:spacing w:after="0" w:line="240" w:lineRule="auto"/>
      </w:pPr>
      <w:r>
        <w:separator/>
      </w:r>
    </w:p>
  </w:endnote>
  <w:endnote w:type="continuationSeparator" w:id="0">
    <w:p w14:paraId="4A8470E2" w14:textId="77777777" w:rsidR="00666744" w:rsidRDefault="00666744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3E99" w14:textId="77777777" w:rsidR="00666744" w:rsidRDefault="00666744" w:rsidP="001F5306">
      <w:pPr>
        <w:spacing w:after="0" w:line="240" w:lineRule="auto"/>
      </w:pPr>
      <w:r>
        <w:separator/>
      </w:r>
    </w:p>
  </w:footnote>
  <w:footnote w:type="continuationSeparator" w:id="0">
    <w:p w14:paraId="08C1FF45" w14:textId="77777777" w:rsidR="00666744" w:rsidRDefault="00666744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96208"/>
    <w:rsid w:val="00172259"/>
    <w:rsid w:val="001900C1"/>
    <w:rsid w:val="001C7343"/>
    <w:rsid w:val="001D397C"/>
    <w:rsid w:val="001F5306"/>
    <w:rsid w:val="0021200A"/>
    <w:rsid w:val="0023393F"/>
    <w:rsid w:val="0024242F"/>
    <w:rsid w:val="00274090"/>
    <w:rsid w:val="00324D13"/>
    <w:rsid w:val="00444EDD"/>
    <w:rsid w:val="00483662"/>
    <w:rsid w:val="004B4677"/>
    <w:rsid w:val="004F4ED5"/>
    <w:rsid w:val="005755EF"/>
    <w:rsid w:val="005D537F"/>
    <w:rsid w:val="00636126"/>
    <w:rsid w:val="00666744"/>
    <w:rsid w:val="00675292"/>
    <w:rsid w:val="006758A6"/>
    <w:rsid w:val="006977ED"/>
    <w:rsid w:val="006A5C50"/>
    <w:rsid w:val="006B1B28"/>
    <w:rsid w:val="006D796D"/>
    <w:rsid w:val="007C5DAE"/>
    <w:rsid w:val="00877DFB"/>
    <w:rsid w:val="008E2DB6"/>
    <w:rsid w:val="008F39E6"/>
    <w:rsid w:val="00960771"/>
    <w:rsid w:val="009C4F1F"/>
    <w:rsid w:val="009C6D8A"/>
    <w:rsid w:val="009D7982"/>
    <w:rsid w:val="009F5EB1"/>
    <w:rsid w:val="00A16D40"/>
    <w:rsid w:val="00A52090"/>
    <w:rsid w:val="00AC7645"/>
    <w:rsid w:val="00AD16D8"/>
    <w:rsid w:val="00B01108"/>
    <w:rsid w:val="00B36793"/>
    <w:rsid w:val="00CA3018"/>
    <w:rsid w:val="00CB5801"/>
    <w:rsid w:val="00CC4B1A"/>
    <w:rsid w:val="00D60250"/>
    <w:rsid w:val="00DB1F83"/>
    <w:rsid w:val="00DE56FE"/>
    <w:rsid w:val="00E20C01"/>
    <w:rsid w:val="00E3125E"/>
    <w:rsid w:val="00EE7842"/>
    <w:rsid w:val="00F652E0"/>
    <w:rsid w:val="00FB4A02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Igor Carvalho Rocha - R2012</cp:lastModifiedBy>
  <cp:revision>5</cp:revision>
  <dcterms:created xsi:type="dcterms:W3CDTF">2024-05-22T00:56:00Z</dcterms:created>
  <dcterms:modified xsi:type="dcterms:W3CDTF">2024-05-22T07:55:00Z</dcterms:modified>
</cp:coreProperties>
</file>